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D30D8" w14:textId="77777777" w:rsidR="00EE7BB0" w:rsidRDefault="00EE7BB0" w:rsidP="00EE7BB0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T.C.</w:t>
      </w:r>
    </w:p>
    <w:p w14:paraId="238775E2" w14:textId="77777777" w:rsidR="00EE7BB0" w:rsidRDefault="00EE7BB0" w:rsidP="00EE7BB0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TİCARET BAKANLIĞI</w:t>
      </w:r>
    </w:p>
    <w:p w14:paraId="1EC22769" w14:textId="77777777" w:rsidR="00EE7BB0" w:rsidRDefault="00EE7BB0" w:rsidP="00EE7BB0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İstanbul Gümrük ve Dış Ticaret Bölge Müdürlüğü</w:t>
      </w:r>
    </w:p>
    <w:p w14:paraId="196EB0FD" w14:textId="77777777" w:rsidR="00EE7BB0" w:rsidRDefault="00EE7BB0" w:rsidP="00EE7BB0">
      <w:pPr>
        <w:shd w:val="clear" w:color="auto" w:fill="FFFFFF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Sayı     :</w:t>
      </w:r>
      <w:r>
        <w:rPr>
          <w:rFonts w:ascii="Verdana" w:hAnsi="Verdana" w:cs="Tahoma"/>
          <w:color w:val="000000"/>
          <w:sz w:val="20"/>
          <w:szCs w:val="20"/>
        </w:rPr>
        <w:t>63721428-109</w:t>
      </w:r>
    </w:p>
    <w:p w14:paraId="4688A0D4" w14:textId="77777777" w:rsidR="00EE7BB0" w:rsidRDefault="00EE7BB0" w:rsidP="00EE7BB0">
      <w:pPr>
        <w:shd w:val="clear" w:color="auto" w:fill="FFFFFF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Konu </w:t>
      </w: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  :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Barkodlu</w:t>
      </w:r>
      <w:proofErr w:type="spellEnd"/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Numune Poşetlerinin</w:t>
      </w:r>
    </w:p>
    <w:p w14:paraId="028ECF15" w14:textId="77777777" w:rsidR="00EE7BB0" w:rsidRDefault="00EE7BB0" w:rsidP="00EE7BB0">
      <w:pPr>
        <w:shd w:val="clear" w:color="auto" w:fill="FFFFFF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             Kullanımı ve Dağıtımı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Hk</w:t>
      </w:r>
      <w:proofErr w:type="spellEnd"/>
    </w:p>
    <w:p w14:paraId="3BAAFD32" w14:textId="77777777" w:rsidR="00EE7BB0" w:rsidRDefault="00EE7BB0" w:rsidP="00EE7BB0">
      <w:pPr>
        <w:shd w:val="clear" w:color="auto" w:fill="FFFFFF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 </w:t>
      </w:r>
    </w:p>
    <w:p w14:paraId="29C03338" w14:textId="77777777" w:rsidR="00EE7BB0" w:rsidRDefault="00EE7BB0" w:rsidP="00EE7BB0">
      <w:pPr>
        <w:shd w:val="clear" w:color="auto" w:fill="FFFFFF"/>
        <w:spacing w:before="1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30.07.2020 / 56291702</w:t>
      </w:r>
    </w:p>
    <w:p w14:paraId="4D79C3D5" w14:textId="77777777" w:rsidR="00EE7BB0" w:rsidRDefault="00EE7BB0" w:rsidP="00EE7BB0">
      <w:pPr>
        <w:shd w:val="clear" w:color="auto" w:fill="FFFFFF"/>
        <w:spacing w:before="1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DAĞITIM YERLERİNE</w:t>
      </w:r>
    </w:p>
    <w:p w14:paraId="535AB013" w14:textId="77777777" w:rsidR="00EE7BB0" w:rsidRDefault="00EE7BB0" w:rsidP="00EE7BB0">
      <w:pPr>
        <w:shd w:val="clear" w:color="auto" w:fill="FFFFFF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 </w:t>
      </w:r>
    </w:p>
    <w:p w14:paraId="59219FBE" w14:textId="77777777" w:rsidR="00EE7BB0" w:rsidRDefault="00EE7BB0" w:rsidP="00EE7BB0">
      <w:pPr>
        <w:shd w:val="clear" w:color="auto" w:fill="FFFFFF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 </w:t>
      </w:r>
    </w:p>
    <w:p w14:paraId="79FA29DD" w14:textId="77777777" w:rsidR="00EE7BB0" w:rsidRDefault="00EE7BB0" w:rsidP="00EE7BB0">
      <w:pPr>
        <w:shd w:val="clear" w:color="auto" w:fill="FFFFFF"/>
        <w:spacing w:before="12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Bağlantımız İstanbul Laboratuvar Müdürlüğünden alınan 29.07.2020 tarihli 56259329 sayılı yazı ve eki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Barkodlu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Numune Poşetleri Kullanım Kılavuzu ilişikte gönderilmiş olup, söz konusu yazıda özetle;</w:t>
      </w:r>
    </w:p>
    <w:p w14:paraId="0D250E6E" w14:textId="77777777" w:rsidR="00EE7BB0" w:rsidRDefault="00EE7BB0" w:rsidP="00EE7BB0">
      <w:pPr>
        <w:shd w:val="clear" w:color="auto" w:fill="FFFFFF"/>
        <w:spacing w:before="12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"</w:t>
      </w:r>
      <w:r>
        <w:rPr>
          <w:rFonts w:ascii="Verdana" w:hAnsi="Verdana" w:cs="Tahoma"/>
          <w:i/>
          <w:iCs/>
          <w:color w:val="000000"/>
          <w:sz w:val="20"/>
          <w:szCs w:val="20"/>
        </w:rPr>
        <w:t>Gümrükler Genel Müdürlüğü’nün 50429834 sayı ve 18.12.2019 tarihli yazılarında; 2012/32 sayılı Genelge eki Numune Alma Kılavuzunda yer alan numune alma işlemine yönelik ihtiyaçların alımı ve dağıtımı ile ilgili tüm işlemlerin tek elden yapılması için Laboratuvar Müdürlüklerinin yetkilendirildiği,</w:t>
      </w:r>
    </w:p>
    <w:p w14:paraId="61A75146" w14:textId="77777777" w:rsidR="00EE7BB0" w:rsidRDefault="00EE7BB0" w:rsidP="00EE7BB0">
      <w:pPr>
        <w:shd w:val="clear" w:color="auto" w:fill="FFFFFF"/>
        <w:spacing w:before="12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i/>
          <w:iCs/>
          <w:color w:val="000000"/>
          <w:sz w:val="20"/>
          <w:szCs w:val="20"/>
        </w:rPr>
        <w:t xml:space="preserve">Gümrük Müdürlüklerinin talepleri çerçevesinde 07.04.2020 tarih ve 2020/132110 </w:t>
      </w:r>
      <w:proofErr w:type="spellStart"/>
      <w:r>
        <w:rPr>
          <w:rFonts w:ascii="Verdana" w:hAnsi="Verdana" w:cs="Tahoma"/>
          <w:i/>
          <w:iCs/>
          <w:color w:val="000000"/>
          <w:sz w:val="20"/>
          <w:szCs w:val="20"/>
        </w:rPr>
        <w:t>İKN’li</w:t>
      </w:r>
      <w:proofErr w:type="spellEnd"/>
      <w:r>
        <w:rPr>
          <w:rFonts w:ascii="Verdana" w:hAnsi="Verdana" w:cs="Tahoma"/>
          <w:i/>
          <w:iCs/>
          <w:color w:val="000000"/>
          <w:sz w:val="20"/>
          <w:szCs w:val="20"/>
        </w:rPr>
        <w:t xml:space="preserve"> Polimer Torba, Polimer Numune Kabı ve Cam Numune Kabı İhalesinin gerçekleştirildiği ve ihale yüklenicisi firmalar tarafından numune kapları/poşetlerinin dağıtım işlemlerine başlanacağının bilgisinin alındığı,</w:t>
      </w:r>
    </w:p>
    <w:p w14:paraId="6AE5D6EC" w14:textId="77777777" w:rsidR="00EE7BB0" w:rsidRDefault="00EE7BB0" w:rsidP="00EE7BB0">
      <w:pPr>
        <w:shd w:val="clear" w:color="auto" w:fill="FFFFFF"/>
        <w:spacing w:before="12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i/>
          <w:iCs/>
          <w:color w:val="000000"/>
          <w:sz w:val="20"/>
          <w:szCs w:val="20"/>
        </w:rPr>
        <w:t xml:space="preserve">Dağıtımı yapılacak yeni numune poşetlerinin barkod sistemine uygun özellikte olduğu ve numunelerin türüne (sıvı, toz veya granül) göre cam veya polimer numune kaplarına alınıp, yeni </w:t>
      </w:r>
      <w:proofErr w:type="spellStart"/>
      <w:r>
        <w:rPr>
          <w:rFonts w:ascii="Verdana" w:hAnsi="Verdana" w:cs="Tahoma"/>
          <w:i/>
          <w:iCs/>
          <w:color w:val="000000"/>
          <w:sz w:val="20"/>
          <w:szCs w:val="20"/>
        </w:rPr>
        <w:t>barkodlu</w:t>
      </w:r>
      <w:proofErr w:type="spellEnd"/>
      <w:r>
        <w:rPr>
          <w:rFonts w:ascii="Verdana" w:hAnsi="Verdana" w:cs="Tahoma"/>
          <w:i/>
          <w:iCs/>
          <w:color w:val="000000"/>
          <w:sz w:val="20"/>
          <w:szCs w:val="20"/>
        </w:rPr>
        <w:t xml:space="preserve"> numune poşetlerine konularak ilgili Laboratuvara gönderileceği,</w:t>
      </w:r>
    </w:p>
    <w:p w14:paraId="0E731C8A" w14:textId="77777777" w:rsidR="00EE7BB0" w:rsidRDefault="00EE7BB0" w:rsidP="00EE7BB0">
      <w:pPr>
        <w:shd w:val="clear" w:color="auto" w:fill="FFFFFF"/>
        <w:spacing w:before="12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i/>
          <w:iCs/>
          <w:color w:val="000000"/>
          <w:sz w:val="20"/>
          <w:szCs w:val="20"/>
        </w:rPr>
        <w:t>Üç farklı ebattaki numune poşetlerine sığmayacak boyuttaki numuneler hariç olmak üzere Gümrük Yönetmeliği </w:t>
      </w:r>
      <w:hyperlink r:id="rId4" w:anchor="MADDE_199" w:history="1">
        <w:r>
          <w:rPr>
            <w:rStyle w:val="Kpr"/>
            <w:rFonts w:ascii="Tahoma" w:hAnsi="Tahoma" w:cs="Tahoma"/>
            <w:b/>
            <w:bCs/>
            <w:i/>
            <w:iCs/>
            <w:color w:val="104E83"/>
            <w:sz w:val="17"/>
            <w:szCs w:val="17"/>
          </w:rPr>
          <w:t>Madde 199/ç</w:t>
        </w:r>
      </w:hyperlink>
      <w:r>
        <w:rPr>
          <w:rFonts w:ascii="Verdana" w:hAnsi="Verdana" w:cs="Tahoma"/>
          <w:i/>
          <w:iCs/>
          <w:color w:val="000000"/>
          <w:sz w:val="20"/>
          <w:szCs w:val="20"/>
        </w:rPr>
        <w:t xml:space="preserve"> bendinde belirtildiği üzere ayrıca mavi güvenlik mührü kullanılmaya gerek duyulmayacağı, barkod numarasının aynı zamanda mühür </w:t>
      </w:r>
      <w:proofErr w:type="spellStart"/>
      <w:r>
        <w:rPr>
          <w:rFonts w:ascii="Verdana" w:hAnsi="Verdana" w:cs="Tahoma"/>
          <w:i/>
          <w:iCs/>
          <w:color w:val="000000"/>
          <w:sz w:val="20"/>
          <w:szCs w:val="20"/>
        </w:rPr>
        <w:t>no</w:t>
      </w:r>
      <w:proofErr w:type="spellEnd"/>
      <w:r>
        <w:rPr>
          <w:rFonts w:ascii="Verdana" w:hAnsi="Verdana" w:cs="Tahoma"/>
          <w:i/>
          <w:iCs/>
          <w:color w:val="000000"/>
          <w:sz w:val="20"/>
          <w:szCs w:val="20"/>
        </w:rPr>
        <w:t xml:space="preserve"> olarak ayırt edici olacağı,</w:t>
      </w:r>
    </w:p>
    <w:p w14:paraId="711A96E6" w14:textId="77777777" w:rsidR="00EE7BB0" w:rsidRDefault="00EE7BB0" w:rsidP="00EE7BB0">
      <w:pPr>
        <w:shd w:val="clear" w:color="auto" w:fill="FFFFFF"/>
        <w:spacing w:before="12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i/>
          <w:iCs/>
          <w:color w:val="000000"/>
          <w:sz w:val="20"/>
          <w:szCs w:val="20"/>
        </w:rPr>
        <w:t xml:space="preserve">Üretilen üç farklı ebattaki numune poşetlerine sığmayacak boyuttaki numuneler için ise mavi mühür bandının kullanılmasına devam </w:t>
      </w:r>
      <w:proofErr w:type="gramStart"/>
      <w:r>
        <w:rPr>
          <w:rFonts w:ascii="Verdana" w:hAnsi="Verdana" w:cs="Tahoma"/>
          <w:i/>
          <w:iCs/>
          <w:color w:val="000000"/>
          <w:sz w:val="20"/>
          <w:szCs w:val="20"/>
        </w:rPr>
        <w:t>edileceği,`</w:t>
      </w:r>
      <w:proofErr w:type="gramEnd"/>
      <w:r>
        <w:rPr>
          <w:rFonts w:ascii="Verdana" w:hAnsi="Verdana" w:cs="Tahoma"/>
          <w:i/>
          <w:iCs/>
          <w:color w:val="000000"/>
          <w:sz w:val="20"/>
          <w:szCs w:val="20"/>
        </w:rPr>
        <w:t>` </w:t>
      </w:r>
      <w:r>
        <w:rPr>
          <w:rFonts w:ascii="Verdana" w:hAnsi="Verdana" w:cs="Tahoma"/>
          <w:color w:val="000000"/>
          <w:sz w:val="20"/>
          <w:szCs w:val="20"/>
        </w:rPr>
        <w:t>ifade edilmiştir.</w:t>
      </w:r>
    </w:p>
    <w:p w14:paraId="241BDB4F" w14:textId="77777777" w:rsidR="00EE7BB0" w:rsidRDefault="00EE7BB0" w:rsidP="00EE7BB0">
      <w:pPr>
        <w:shd w:val="clear" w:color="auto" w:fill="FFFFFF"/>
        <w:spacing w:before="12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Diğer taraftan, yeni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barkodlu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numune poşetlerinin kullanım şeklini ayrıntılı bir şekilde tarif eden Kullanım Kılavuzu ve uygulama videosuna; Bakanlığımız Eğitim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Portalı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  </w:t>
      </w:r>
      <w:hyperlink r:id="rId5" w:history="1">
        <w:r>
          <w:rPr>
            <w:rStyle w:val="Kpr"/>
            <w:rFonts w:ascii="Tahoma" w:hAnsi="Tahoma" w:cs="Tahoma"/>
            <w:b/>
            <w:bCs/>
            <w:color w:val="104E83"/>
            <w:sz w:val="17"/>
            <w:szCs w:val="17"/>
          </w:rPr>
          <w:t>https://eys.ticaret.gov.tr</w:t>
        </w:r>
      </w:hyperlink>
      <w:r>
        <w:rPr>
          <w:rFonts w:ascii="Verdana" w:hAnsi="Verdana" w:cs="Tahoma"/>
          <w:b/>
          <w:bCs/>
          <w:color w:val="000000"/>
          <w:sz w:val="20"/>
          <w:szCs w:val="20"/>
        </w:rPr>
        <w:t>  </w:t>
      </w:r>
      <w:r>
        <w:rPr>
          <w:rFonts w:ascii="Verdana" w:hAnsi="Verdana" w:cs="Tahoma"/>
          <w:color w:val="000000"/>
          <w:sz w:val="20"/>
          <w:szCs w:val="20"/>
        </w:rPr>
        <w:t>internet adresinden, sisteme giriş yapılarak Katalog Eğitimleri sekmesi Gümrük ve Dış Ticaret Eğitimleri bölümünden ulaşılabilecektir.</w:t>
      </w:r>
    </w:p>
    <w:p w14:paraId="5BB932F3" w14:textId="77777777" w:rsidR="00EE7BB0" w:rsidRDefault="00EE7BB0" w:rsidP="00EE7BB0">
      <w:pPr>
        <w:shd w:val="clear" w:color="auto" w:fill="FFFFFF"/>
        <w:spacing w:before="12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Bilgi ve gereğini arz/rica ederim.</w:t>
      </w:r>
    </w:p>
    <w:p w14:paraId="6AE47887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lastRenderedPageBreak/>
        <w:t> </w:t>
      </w:r>
    </w:p>
    <w:p w14:paraId="59F0D498" w14:textId="77777777" w:rsidR="00EE7BB0" w:rsidRDefault="00EE7BB0" w:rsidP="00EE7BB0">
      <w:pPr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Yalçın ÖZDEN</w:t>
      </w:r>
    </w:p>
    <w:p w14:paraId="0718A74F" w14:textId="77777777" w:rsidR="00EE7BB0" w:rsidRDefault="00EE7BB0" w:rsidP="00EE7BB0">
      <w:pPr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Bölge Müdürü</w:t>
      </w:r>
    </w:p>
    <w:p w14:paraId="57D73E3D" w14:textId="77777777" w:rsidR="00EE7BB0" w:rsidRDefault="00EE7BB0" w:rsidP="00EE7BB0">
      <w:pPr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 </w:t>
      </w:r>
    </w:p>
    <w:p w14:paraId="777BA15E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EK: 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Üstyazı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ve Kılavuz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örn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.</w:t>
      </w:r>
    </w:p>
    <w:p w14:paraId="5CEA92FA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 </w:t>
      </w:r>
    </w:p>
    <w:p w14:paraId="2E15562A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DAĞITIM:</w:t>
      </w:r>
    </w:p>
    <w:p w14:paraId="03975ED4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Gereği:   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Bilgi:</w:t>
      </w:r>
    </w:p>
    <w:p w14:paraId="611DAF20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Tüm Gümrük ve Dış Ticaret Bölge Müdürlüklerine   Gümrükler Genel Müdürlüğüne</w:t>
      </w:r>
    </w:p>
    <w:p w14:paraId="4AD43CBC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Tüm Şube Müdürlüklerine                                          Personel Genel Müdürlüğüne</w:t>
      </w:r>
    </w:p>
    <w:p w14:paraId="4B2AD788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Tüm Bağlantı Gümrük Müdürlüklerine</w:t>
      </w:r>
    </w:p>
    <w:p w14:paraId="459B5113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Tüm Kaçakçılık ve İstihbarat Müdürlüklerine</w:t>
      </w:r>
    </w:p>
    <w:p w14:paraId="7282297B" w14:textId="77777777" w:rsidR="00EE7BB0" w:rsidRDefault="00EE7BB0" w:rsidP="00EE7BB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Tüm Laboratuvar Müdürlüklerine</w:t>
      </w:r>
    </w:p>
    <w:p w14:paraId="370288BE" w14:textId="77777777" w:rsidR="000D2FEA" w:rsidRPr="000D2FEA" w:rsidRDefault="000D2FEA" w:rsidP="000D2FEA">
      <w:pPr>
        <w:tabs>
          <w:tab w:val="left" w:pos="7065"/>
        </w:tabs>
      </w:pPr>
    </w:p>
    <w:sectPr w:rsidR="000D2FEA" w:rsidRPr="000D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47"/>
    <w:rsid w:val="000A3B93"/>
    <w:rsid w:val="000B37F0"/>
    <w:rsid w:val="000D2FEA"/>
    <w:rsid w:val="00350921"/>
    <w:rsid w:val="00544C5A"/>
    <w:rsid w:val="00571557"/>
    <w:rsid w:val="00606C8D"/>
    <w:rsid w:val="00625DEC"/>
    <w:rsid w:val="006D138A"/>
    <w:rsid w:val="007506F1"/>
    <w:rsid w:val="0087365E"/>
    <w:rsid w:val="00923887"/>
    <w:rsid w:val="00973EC2"/>
    <w:rsid w:val="00A15447"/>
    <w:rsid w:val="00BD6329"/>
    <w:rsid w:val="00C323F8"/>
    <w:rsid w:val="00CD21C2"/>
    <w:rsid w:val="00E00C42"/>
    <w:rsid w:val="00EE7BB0"/>
    <w:rsid w:val="00F45D8B"/>
    <w:rsid w:val="00F9757B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A5"/>
  <w15:docId w15:val="{67F7C64E-D417-4CDB-B3A3-B1C4B0F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44C5A"/>
    <w:rPr>
      <w:rFonts w:ascii="Times New Roman" w:hAnsi="Times New Roman" w:cs="Times New Roman" w:hint="default"/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D138A"/>
    <w:rPr>
      <w:b/>
      <w:bCs/>
    </w:rPr>
  </w:style>
  <w:style w:type="paragraph" w:customStyle="1" w:styleId="balk11pt">
    <w:name w:val="balk11pt"/>
    <w:basedOn w:val="Normal"/>
    <w:rsid w:val="0087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87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87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E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ys.ticaret.gov.tr/" TargetMode="External"/><Relationship Id="rId4" Type="http://schemas.openxmlformats.org/officeDocument/2006/relationships/hyperlink" Target="https://www.mavi.web.tr/mevzuat/mevzuatGoster.aspx?id=3717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Sakin</dc:creator>
  <cp:keywords/>
  <dc:description/>
  <cp:lastModifiedBy>Burhan Kaburga</cp:lastModifiedBy>
  <cp:revision>16</cp:revision>
  <dcterms:created xsi:type="dcterms:W3CDTF">2020-07-29T05:48:00Z</dcterms:created>
  <dcterms:modified xsi:type="dcterms:W3CDTF">2020-08-11T05:39:00Z</dcterms:modified>
</cp:coreProperties>
</file>