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56B3" w14:textId="77777777" w:rsidR="00827913" w:rsidRPr="00827913" w:rsidRDefault="00827913" w:rsidP="00827913">
      <w:pPr>
        <w:shd w:val="clear" w:color="auto" w:fill="FFFFFF"/>
        <w:spacing w:after="0" w:line="240" w:lineRule="auto"/>
        <w:jc w:val="center"/>
        <w:rPr>
          <w:rFonts w:ascii="Tahoma" w:eastAsia="Times New Roman" w:hAnsi="Tahoma" w:cs="Tahoma"/>
          <w:color w:val="000000"/>
          <w:sz w:val="18"/>
          <w:szCs w:val="18"/>
          <w:lang w:eastAsia="tr-TR"/>
        </w:rPr>
      </w:pPr>
      <w:r w:rsidRPr="00827913">
        <w:rPr>
          <w:rFonts w:ascii="Verdana" w:eastAsia="Times New Roman" w:hAnsi="Verdana" w:cs="Tahoma"/>
          <w:b/>
          <w:bCs/>
          <w:color w:val="000000"/>
          <w:sz w:val="20"/>
          <w:szCs w:val="20"/>
          <w:lang w:eastAsia="tr-TR"/>
        </w:rPr>
        <w:t>T.C.</w:t>
      </w:r>
    </w:p>
    <w:p w14:paraId="7950F37B" w14:textId="77777777" w:rsidR="00827913" w:rsidRPr="00827913" w:rsidRDefault="00827913" w:rsidP="00827913">
      <w:pPr>
        <w:shd w:val="clear" w:color="auto" w:fill="FFFFFF"/>
        <w:spacing w:after="0" w:line="240" w:lineRule="auto"/>
        <w:jc w:val="center"/>
        <w:rPr>
          <w:rFonts w:ascii="Tahoma" w:eastAsia="Times New Roman" w:hAnsi="Tahoma" w:cs="Tahoma"/>
          <w:color w:val="000000"/>
          <w:sz w:val="18"/>
          <w:szCs w:val="18"/>
          <w:lang w:eastAsia="tr-TR"/>
        </w:rPr>
      </w:pPr>
      <w:r w:rsidRPr="00827913">
        <w:rPr>
          <w:rFonts w:ascii="Verdana" w:eastAsia="Times New Roman" w:hAnsi="Verdana" w:cs="Tahoma"/>
          <w:b/>
          <w:bCs/>
          <w:color w:val="000000"/>
          <w:sz w:val="20"/>
          <w:szCs w:val="20"/>
          <w:lang w:eastAsia="tr-TR"/>
        </w:rPr>
        <w:t>TİCARET BAKANLIĞI</w:t>
      </w:r>
    </w:p>
    <w:p w14:paraId="3199A973" w14:textId="77777777" w:rsidR="00827913" w:rsidRPr="00827913" w:rsidRDefault="00827913" w:rsidP="00827913">
      <w:pPr>
        <w:shd w:val="clear" w:color="auto" w:fill="FFFFFF"/>
        <w:spacing w:after="0" w:line="240" w:lineRule="auto"/>
        <w:jc w:val="center"/>
        <w:rPr>
          <w:rFonts w:ascii="Tahoma" w:eastAsia="Times New Roman" w:hAnsi="Tahoma" w:cs="Tahoma"/>
          <w:color w:val="000000"/>
          <w:sz w:val="18"/>
          <w:szCs w:val="18"/>
          <w:lang w:eastAsia="tr-TR"/>
        </w:rPr>
      </w:pPr>
      <w:r w:rsidRPr="00827913">
        <w:rPr>
          <w:rFonts w:ascii="Verdana" w:eastAsia="Times New Roman" w:hAnsi="Verdana" w:cs="Tahoma"/>
          <w:b/>
          <w:bCs/>
          <w:color w:val="000000"/>
          <w:sz w:val="20"/>
          <w:szCs w:val="20"/>
          <w:lang w:eastAsia="tr-TR"/>
        </w:rPr>
        <w:t>Gümrükler Genel Müdürlüğü</w:t>
      </w:r>
    </w:p>
    <w:p w14:paraId="6F066CAD"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6484291F"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3D2A8944"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ÇOK ACELE/GÜNLÜDÜR</w:t>
      </w:r>
    </w:p>
    <w:p w14:paraId="23E0CAF9"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proofErr w:type="gramStart"/>
      <w:r w:rsidRPr="00827913">
        <w:rPr>
          <w:rFonts w:ascii="Verdana" w:eastAsia="Times New Roman" w:hAnsi="Verdana" w:cs="Tahoma"/>
          <w:color w:val="000000"/>
          <w:sz w:val="20"/>
          <w:szCs w:val="20"/>
          <w:lang w:eastAsia="tr-TR"/>
        </w:rPr>
        <w:t>Sayı :</w:t>
      </w:r>
      <w:proofErr w:type="gramEnd"/>
      <w:r w:rsidRPr="00827913">
        <w:rPr>
          <w:rFonts w:ascii="Verdana" w:eastAsia="Times New Roman" w:hAnsi="Verdana" w:cs="Tahoma"/>
          <w:color w:val="000000"/>
          <w:sz w:val="20"/>
          <w:szCs w:val="20"/>
          <w:lang w:eastAsia="tr-TR"/>
        </w:rPr>
        <w:t xml:space="preserve"> 40216608-157.01</w:t>
      </w:r>
    </w:p>
    <w:p w14:paraId="01D78110"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proofErr w:type="gramStart"/>
      <w:r w:rsidRPr="00827913">
        <w:rPr>
          <w:rFonts w:ascii="Verdana" w:eastAsia="Times New Roman" w:hAnsi="Verdana" w:cs="Tahoma"/>
          <w:color w:val="000000"/>
          <w:sz w:val="20"/>
          <w:szCs w:val="20"/>
          <w:lang w:eastAsia="tr-TR"/>
        </w:rPr>
        <w:t>Konu :</w:t>
      </w:r>
      <w:proofErr w:type="gramEnd"/>
      <w:r w:rsidRPr="00827913">
        <w:rPr>
          <w:rFonts w:ascii="Verdana" w:eastAsia="Times New Roman" w:hAnsi="Verdana" w:cs="Tahoma"/>
          <w:color w:val="000000"/>
          <w:sz w:val="20"/>
          <w:szCs w:val="20"/>
          <w:lang w:eastAsia="tr-TR"/>
        </w:rPr>
        <w:t xml:space="preserve"> Antrepolarda Teminat İşlemleri</w:t>
      </w:r>
    </w:p>
    <w:p w14:paraId="437EE4AE" w14:textId="77777777" w:rsidR="00827913" w:rsidRPr="00827913" w:rsidRDefault="00827913" w:rsidP="00827913">
      <w:pPr>
        <w:shd w:val="clear" w:color="auto" w:fill="FFFFFF"/>
        <w:spacing w:after="0" w:line="240" w:lineRule="auto"/>
        <w:jc w:val="center"/>
        <w:rPr>
          <w:rFonts w:ascii="Tahoma" w:eastAsia="Times New Roman" w:hAnsi="Tahoma" w:cs="Tahoma"/>
          <w:color w:val="000000"/>
          <w:sz w:val="18"/>
          <w:szCs w:val="18"/>
          <w:lang w:eastAsia="tr-TR"/>
        </w:rPr>
      </w:pPr>
      <w:r w:rsidRPr="00827913">
        <w:rPr>
          <w:rFonts w:ascii="Verdana" w:eastAsia="Times New Roman" w:hAnsi="Verdana" w:cs="Tahoma"/>
          <w:b/>
          <w:bCs/>
          <w:color w:val="000000"/>
          <w:sz w:val="20"/>
          <w:szCs w:val="20"/>
          <w:lang w:eastAsia="tr-TR"/>
        </w:rPr>
        <w:t> </w:t>
      </w:r>
    </w:p>
    <w:p w14:paraId="7617C4F2" w14:textId="77777777" w:rsidR="00827913" w:rsidRPr="00827913" w:rsidRDefault="00827913" w:rsidP="00827913">
      <w:pPr>
        <w:shd w:val="clear" w:color="auto" w:fill="FFFFFF"/>
        <w:spacing w:after="0" w:line="240" w:lineRule="auto"/>
        <w:jc w:val="center"/>
        <w:rPr>
          <w:rFonts w:ascii="Tahoma" w:eastAsia="Times New Roman" w:hAnsi="Tahoma" w:cs="Tahoma"/>
          <w:color w:val="000000"/>
          <w:sz w:val="18"/>
          <w:szCs w:val="18"/>
          <w:lang w:eastAsia="tr-TR"/>
        </w:rPr>
      </w:pPr>
      <w:r w:rsidRPr="00827913">
        <w:rPr>
          <w:rFonts w:ascii="Verdana" w:eastAsia="Times New Roman" w:hAnsi="Verdana" w:cs="Tahoma"/>
          <w:b/>
          <w:bCs/>
          <w:color w:val="000000"/>
          <w:sz w:val="20"/>
          <w:szCs w:val="20"/>
          <w:lang w:eastAsia="tr-TR"/>
        </w:rPr>
        <w:t>23.07.2020/56074795</w:t>
      </w:r>
    </w:p>
    <w:p w14:paraId="08EB71AD" w14:textId="77777777" w:rsidR="00827913" w:rsidRPr="00827913" w:rsidRDefault="00827913" w:rsidP="00827913">
      <w:pPr>
        <w:shd w:val="clear" w:color="auto" w:fill="FFFFFF"/>
        <w:spacing w:after="0" w:line="240" w:lineRule="auto"/>
        <w:jc w:val="center"/>
        <w:rPr>
          <w:rFonts w:ascii="Tahoma" w:eastAsia="Times New Roman" w:hAnsi="Tahoma" w:cs="Tahoma"/>
          <w:color w:val="000000"/>
          <w:sz w:val="18"/>
          <w:szCs w:val="18"/>
          <w:lang w:eastAsia="tr-TR"/>
        </w:rPr>
      </w:pPr>
      <w:r w:rsidRPr="00827913">
        <w:rPr>
          <w:rFonts w:ascii="Verdana" w:eastAsia="Times New Roman" w:hAnsi="Verdana" w:cs="Tahoma"/>
          <w:b/>
          <w:bCs/>
          <w:color w:val="000000"/>
          <w:sz w:val="20"/>
          <w:szCs w:val="20"/>
          <w:lang w:eastAsia="tr-TR"/>
        </w:rPr>
        <w:t>DAĞITIM YERLERİNE</w:t>
      </w:r>
    </w:p>
    <w:p w14:paraId="4B74B3C4"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57214FB3"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33FB7CA4"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xml:space="preserve">Bakanlık Makamının 14.12.2014 tarihli Olurları ile, Gümrük Yönetmeliğinin 526/3 üncü maddesi saklı kalmak kaydıyla 17.12.2014 tarihinden itibaren akaryakıt antrepoları dışındaki antrepolar için, eşyadan bağımsız ve sabit olmak üzere 100.000.-Avro teminat verilmesi, ayrıca bu sabit teminata ilave olarak, eşyadan alınması gereken teminatın, eşya türüne bağlı olarak eşyaya ilişkin toplam vergilerin %10 ve %25’i kadar olması, 01.01.2015 tarihine kadar </w:t>
      </w:r>
      <w:proofErr w:type="spellStart"/>
      <w:r w:rsidRPr="00827913">
        <w:rPr>
          <w:rFonts w:ascii="Verdana" w:eastAsia="Times New Roman" w:hAnsi="Verdana" w:cs="Tahoma"/>
          <w:color w:val="000000"/>
          <w:sz w:val="20"/>
          <w:szCs w:val="20"/>
          <w:lang w:eastAsia="tr-TR"/>
        </w:rPr>
        <w:t>lOO.OOO</w:t>
      </w:r>
      <w:proofErr w:type="spellEnd"/>
      <w:r w:rsidRPr="00827913">
        <w:rPr>
          <w:rFonts w:ascii="Verdana" w:eastAsia="Times New Roman" w:hAnsi="Verdana" w:cs="Tahoma"/>
          <w:color w:val="000000"/>
          <w:sz w:val="20"/>
          <w:szCs w:val="20"/>
          <w:lang w:eastAsia="tr-TR"/>
        </w:rPr>
        <w:t>.-Avro tutarındaki teminatın verilmemesi durumunda söz konusu teminat verilinceye kadar antrepoya eşya alınmasına izin verilmemesi uygun bulunmuş; konuya ilişkin 09.01.2015 tarihli, 2015/1 sayılı Genelge yayımlanmıştı.</w:t>
      </w:r>
    </w:p>
    <w:p w14:paraId="51E967A9"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023A8E32"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xml:space="preserve">Söz konusu Genelgenin iptaline ilişkin olarak Bakanlığımız aleyhine Danıştay Yedinci Dairesinde 2015/4528 Esas </w:t>
      </w:r>
      <w:proofErr w:type="spellStart"/>
      <w:r w:rsidRPr="00827913">
        <w:rPr>
          <w:rFonts w:ascii="Verdana" w:eastAsia="Times New Roman" w:hAnsi="Verdana" w:cs="Tahoma"/>
          <w:color w:val="000000"/>
          <w:sz w:val="20"/>
          <w:szCs w:val="20"/>
          <w:lang w:eastAsia="tr-TR"/>
        </w:rPr>
        <w:t>no</w:t>
      </w:r>
      <w:proofErr w:type="spellEnd"/>
      <w:r w:rsidRPr="00827913">
        <w:rPr>
          <w:rFonts w:ascii="Verdana" w:eastAsia="Times New Roman" w:hAnsi="Verdana" w:cs="Tahoma"/>
          <w:color w:val="000000"/>
          <w:sz w:val="20"/>
          <w:szCs w:val="20"/>
          <w:lang w:eastAsia="tr-TR"/>
        </w:rPr>
        <w:t xml:space="preserve"> ile iptal davası açılmış, anılan Dairece 2018/3014 Karar </w:t>
      </w:r>
      <w:proofErr w:type="spellStart"/>
      <w:r w:rsidRPr="00827913">
        <w:rPr>
          <w:rFonts w:ascii="Verdana" w:eastAsia="Times New Roman" w:hAnsi="Verdana" w:cs="Tahoma"/>
          <w:color w:val="000000"/>
          <w:sz w:val="20"/>
          <w:szCs w:val="20"/>
          <w:lang w:eastAsia="tr-TR"/>
        </w:rPr>
        <w:t>no</w:t>
      </w:r>
      <w:proofErr w:type="spellEnd"/>
      <w:r w:rsidRPr="00827913">
        <w:rPr>
          <w:rFonts w:ascii="Verdana" w:eastAsia="Times New Roman" w:hAnsi="Verdana" w:cs="Tahoma"/>
          <w:color w:val="000000"/>
          <w:sz w:val="20"/>
          <w:szCs w:val="20"/>
          <w:lang w:eastAsia="tr-TR"/>
        </w:rPr>
        <w:t xml:space="preserve"> ile davanın </w:t>
      </w:r>
      <w:proofErr w:type="spellStart"/>
      <w:r w:rsidRPr="00827913">
        <w:rPr>
          <w:rFonts w:ascii="Verdana" w:eastAsia="Times New Roman" w:hAnsi="Verdana" w:cs="Tahoma"/>
          <w:color w:val="000000"/>
          <w:sz w:val="20"/>
          <w:szCs w:val="20"/>
          <w:lang w:eastAsia="tr-TR"/>
        </w:rPr>
        <w:t>incelcnmeksizin</w:t>
      </w:r>
      <w:proofErr w:type="spellEnd"/>
      <w:r w:rsidRPr="00827913">
        <w:rPr>
          <w:rFonts w:ascii="Verdana" w:eastAsia="Times New Roman" w:hAnsi="Verdana" w:cs="Tahoma"/>
          <w:color w:val="000000"/>
          <w:sz w:val="20"/>
          <w:szCs w:val="20"/>
          <w:lang w:eastAsia="tr-TR"/>
        </w:rPr>
        <w:t xml:space="preserve"> reddine karar verilmiştir. Davanın temyizi sonucu Danıştay Vergi Dava Daireleri Kurulunca, Bakanlığımız lehine verilen ret kararı bozulmuştur. Bozma kararı üzerine, Danıştay Yedinci Dairesi ise 2019/2773E., 2019/6162K. </w:t>
      </w:r>
      <w:proofErr w:type="spellStart"/>
      <w:r w:rsidRPr="00827913">
        <w:rPr>
          <w:rFonts w:ascii="Verdana" w:eastAsia="Times New Roman" w:hAnsi="Verdana" w:cs="Tahoma"/>
          <w:color w:val="000000"/>
          <w:sz w:val="20"/>
          <w:szCs w:val="20"/>
          <w:lang w:eastAsia="tr-TR"/>
        </w:rPr>
        <w:t>No’lu</w:t>
      </w:r>
      <w:proofErr w:type="spellEnd"/>
      <w:r w:rsidRPr="00827913">
        <w:rPr>
          <w:rFonts w:ascii="Verdana" w:eastAsia="Times New Roman" w:hAnsi="Verdana" w:cs="Tahoma"/>
          <w:color w:val="000000"/>
          <w:sz w:val="20"/>
          <w:szCs w:val="20"/>
          <w:lang w:eastAsia="tr-TR"/>
        </w:rPr>
        <w:t xml:space="preserve"> kararı ile, </w:t>
      </w:r>
      <w:proofErr w:type="gramStart"/>
      <w:r w:rsidRPr="00827913">
        <w:rPr>
          <w:rFonts w:ascii="Verdana" w:eastAsia="Times New Roman" w:hAnsi="Verdana" w:cs="Tahoma"/>
          <w:color w:val="000000"/>
          <w:sz w:val="20"/>
          <w:szCs w:val="20"/>
          <w:lang w:eastAsia="tr-TR"/>
        </w:rPr>
        <w:t>mezkur</w:t>
      </w:r>
      <w:proofErr w:type="gramEnd"/>
      <w:r w:rsidRPr="00827913">
        <w:rPr>
          <w:rFonts w:ascii="Verdana" w:eastAsia="Times New Roman" w:hAnsi="Verdana" w:cs="Tahoma"/>
          <w:color w:val="000000"/>
          <w:sz w:val="20"/>
          <w:szCs w:val="20"/>
          <w:lang w:eastAsia="tr-TR"/>
        </w:rPr>
        <w:t xml:space="preserve"> Genelgeyi iptal etmiştir.</w:t>
      </w:r>
    </w:p>
    <w:p w14:paraId="1B6DD8CD"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6022F2A3"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xml:space="preserve">Danıştay Yedinci Dairesi tarafından 2015/1 sayılı Genelgenin iptaline karar verilmesi üzerine, </w:t>
      </w:r>
      <w:proofErr w:type="gramStart"/>
      <w:r w:rsidRPr="00827913">
        <w:rPr>
          <w:rFonts w:ascii="Verdana" w:eastAsia="Times New Roman" w:hAnsi="Verdana" w:cs="Tahoma"/>
          <w:color w:val="000000"/>
          <w:sz w:val="20"/>
          <w:szCs w:val="20"/>
          <w:lang w:eastAsia="tr-TR"/>
        </w:rPr>
        <w:t>mezkur</w:t>
      </w:r>
      <w:proofErr w:type="gramEnd"/>
      <w:r w:rsidRPr="00827913">
        <w:rPr>
          <w:rFonts w:ascii="Verdana" w:eastAsia="Times New Roman" w:hAnsi="Verdana" w:cs="Tahoma"/>
          <w:color w:val="000000"/>
          <w:sz w:val="20"/>
          <w:szCs w:val="20"/>
          <w:lang w:eastAsia="tr-TR"/>
        </w:rPr>
        <w:t xml:space="preserve"> Genelgede yer verilen hususlara ilişkin yeni bir düzenleme yapılması gerekliliği ortaya çıkmıştır.</w:t>
      </w:r>
    </w:p>
    <w:p w14:paraId="37C3309B"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562C7888"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xml:space="preserve">4458 sayılı Gümrük Kanunu’nun 10 uncu maddesi; "Bu Kanunda ve bu Kanuna dayanılarak çıkarılan mevzuatta yer alan; izin süreleri, teminat uygulamaları, gümrük vergilerinden muafiyet ve istisna uygulamaları ile beyanın düzeltilmesine ilişkin ortaya çıkan sorunları ve tereddütleri incelemek suretiyle gidermeye Müsteşarlığın önerisi ile bağlı bulunduğu Bakan yetkilidir." hükmünü; 2009/15481 sayılı Bakanlar Kurulu Kararı'nın "Kısmi Teminat Uygulanacak </w:t>
      </w:r>
      <w:proofErr w:type="spellStart"/>
      <w:r w:rsidRPr="00827913">
        <w:rPr>
          <w:rFonts w:ascii="Verdana" w:eastAsia="Times New Roman" w:hAnsi="Verdana" w:cs="Tahoma"/>
          <w:color w:val="000000"/>
          <w:sz w:val="20"/>
          <w:szCs w:val="20"/>
          <w:lang w:eastAsia="tr-TR"/>
        </w:rPr>
        <w:t>Haller"e</w:t>
      </w:r>
      <w:proofErr w:type="spellEnd"/>
      <w:r w:rsidRPr="00827913">
        <w:rPr>
          <w:rFonts w:ascii="Verdana" w:eastAsia="Times New Roman" w:hAnsi="Verdana" w:cs="Tahoma"/>
          <w:color w:val="000000"/>
          <w:sz w:val="20"/>
          <w:szCs w:val="20"/>
          <w:lang w:eastAsia="tr-TR"/>
        </w:rPr>
        <w:t xml:space="preserve"> ilişkin 116/1-b maddesi; "Kanunun 98 inci maddesi hükmü uyarınca Kanuna göre aranacak gümrük vergileri ile para cezası ve İthalat Rejimi Kararma göre aranacak fon haklarını korumak üzere antrepo işletme izni verilenlerden alınacak teminat tutarlarını belirlemeye ve alınacak teminat tutarını ithalat vergiler tutarının %10'ıına kadar indirmeye Müsteşarlığın bağlı olduğu Bakan yetkilidir." hükmünü amirdir.</w:t>
      </w:r>
    </w:p>
    <w:p w14:paraId="0318EB87"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6E103FA8"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xml:space="preserve">Diğer taraftan, Gümrük </w:t>
      </w:r>
      <w:proofErr w:type="spellStart"/>
      <w:r w:rsidRPr="00827913">
        <w:rPr>
          <w:rFonts w:ascii="Verdana" w:eastAsia="Times New Roman" w:hAnsi="Verdana" w:cs="Tahoma"/>
          <w:color w:val="000000"/>
          <w:sz w:val="20"/>
          <w:szCs w:val="20"/>
          <w:lang w:eastAsia="tr-TR"/>
        </w:rPr>
        <w:t>Yönctmcliği’nin</w:t>
      </w:r>
      <w:proofErr w:type="spellEnd"/>
      <w:r w:rsidRPr="00827913">
        <w:rPr>
          <w:rFonts w:ascii="Verdana" w:eastAsia="Times New Roman" w:hAnsi="Verdana" w:cs="Tahoma"/>
          <w:color w:val="000000"/>
          <w:sz w:val="20"/>
          <w:szCs w:val="20"/>
          <w:lang w:eastAsia="tr-TR"/>
        </w:rPr>
        <w:t xml:space="preserve"> </w:t>
      </w:r>
      <w:proofErr w:type="gramStart"/>
      <w:r w:rsidRPr="00827913">
        <w:rPr>
          <w:rFonts w:ascii="Verdana" w:eastAsia="Times New Roman" w:hAnsi="Verdana" w:cs="Tahoma"/>
          <w:color w:val="000000"/>
          <w:sz w:val="20"/>
          <w:szCs w:val="20"/>
          <w:lang w:eastAsia="tr-TR"/>
        </w:rPr>
        <w:t xml:space="preserve">526 </w:t>
      </w:r>
      <w:proofErr w:type="spellStart"/>
      <w:r w:rsidRPr="00827913">
        <w:rPr>
          <w:rFonts w:ascii="Verdana" w:eastAsia="Times New Roman" w:hAnsi="Verdana" w:cs="Tahoma"/>
          <w:color w:val="000000"/>
          <w:sz w:val="20"/>
          <w:szCs w:val="20"/>
          <w:lang w:eastAsia="tr-TR"/>
        </w:rPr>
        <w:t>ncı</w:t>
      </w:r>
      <w:proofErr w:type="spellEnd"/>
      <w:proofErr w:type="gramEnd"/>
      <w:r w:rsidRPr="00827913">
        <w:rPr>
          <w:rFonts w:ascii="Verdana" w:eastAsia="Times New Roman" w:hAnsi="Verdana" w:cs="Tahoma"/>
          <w:color w:val="000000"/>
          <w:sz w:val="20"/>
          <w:szCs w:val="20"/>
          <w:lang w:eastAsia="tr-TR"/>
        </w:rPr>
        <w:t xml:space="preserve"> maddesinin birinci fıkrasında “Gümrük idareleri, gümrük antreposu işleticileri ve kullanıcılarından Kanunun 96 ve 97 </w:t>
      </w:r>
      <w:proofErr w:type="spellStart"/>
      <w:r w:rsidRPr="00827913">
        <w:rPr>
          <w:rFonts w:ascii="Verdana" w:eastAsia="Times New Roman" w:hAnsi="Verdana" w:cs="Tahoma"/>
          <w:color w:val="000000"/>
          <w:sz w:val="20"/>
          <w:szCs w:val="20"/>
          <w:lang w:eastAsia="tr-TR"/>
        </w:rPr>
        <w:t>nci</w:t>
      </w:r>
      <w:proofErr w:type="spellEnd"/>
      <w:r w:rsidRPr="00827913">
        <w:rPr>
          <w:rFonts w:ascii="Verdana" w:eastAsia="Times New Roman" w:hAnsi="Verdana" w:cs="Tahoma"/>
          <w:color w:val="000000"/>
          <w:sz w:val="20"/>
          <w:szCs w:val="20"/>
          <w:lang w:eastAsia="tr-TR"/>
        </w:rPr>
        <w:t xml:space="preserve"> maddelerinde belirtilen sorumlulukları çerçevesinde, tahakkuk edebilecek gümrük vergilerini karşılayacak miktarda teminat ister."-, ikinci fıkrasında “Teminat, antrepoya alınan her parti mal için ayrı ayrı verilebileceği gibi toplu teminat şeklinde de verilebilir. Her iki durumda da birinci fıkrada sayılanlar tarafından teminat verilebilir...”; üçüncü fıkrasında ise “</w:t>
      </w:r>
      <w:proofErr w:type="gramStart"/>
      <w:r w:rsidRPr="00827913">
        <w:rPr>
          <w:rFonts w:ascii="Verdana" w:eastAsia="Times New Roman" w:hAnsi="Verdana" w:cs="Tahoma"/>
          <w:color w:val="000000"/>
          <w:sz w:val="20"/>
          <w:szCs w:val="20"/>
          <w:lang w:eastAsia="tr-TR"/>
        </w:rPr>
        <w:t>493 üncü</w:t>
      </w:r>
      <w:proofErr w:type="gramEnd"/>
      <w:r w:rsidRPr="00827913">
        <w:rPr>
          <w:rFonts w:ascii="Verdana" w:eastAsia="Times New Roman" w:hAnsi="Verdana" w:cs="Tahoma"/>
          <w:color w:val="000000"/>
          <w:sz w:val="20"/>
          <w:szCs w:val="20"/>
          <w:lang w:eastAsia="tr-TR"/>
        </w:rPr>
        <w:t xml:space="preserve"> maddenin beşinci fıkrasında sayılan yükümlülerce, C ve E tipi antrepolarda yapılan</w:t>
      </w:r>
    </w:p>
    <w:p w14:paraId="0066F0EC"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proofErr w:type="gramStart"/>
      <w:r w:rsidRPr="00827913">
        <w:rPr>
          <w:rFonts w:ascii="Verdana" w:eastAsia="Times New Roman" w:hAnsi="Verdana" w:cs="Tahoma"/>
          <w:color w:val="000000"/>
          <w:sz w:val="20"/>
          <w:szCs w:val="20"/>
          <w:lang w:eastAsia="tr-TR"/>
        </w:rPr>
        <w:t>işlemlerde</w:t>
      </w:r>
      <w:proofErr w:type="gramEnd"/>
      <w:r w:rsidRPr="00827913">
        <w:rPr>
          <w:rFonts w:ascii="Verdana" w:eastAsia="Times New Roman" w:hAnsi="Verdana" w:cs="Tahoma"/>
          <w:color w:val="000000"/>
          <w:sz w:val="20"/>
          <w:szCs w:val="20"/>
          <w:lang w:eastAsia="tr-TR"/>
        </w:rPr>
        <w:t xml:space="preserve"> ikinci fıkrada belirtilen teminat türlerine ilaveten 494 üncü madde uyarınca hesaplanmış teminat da kullanılabilir." hükümleri yer almaktadır.</w:t>
      </w:r>
    </w:p>
    <w:p w14:paraId="08352C89"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7AFA29FB"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Bu çerçevede. Bakanlık Makamının 22.07.2020 tarihli, 56024255 sayılı Olurları ile;</w:t>
      </w:r>
    </w:p>
    <w:p w14:paraId="6A2982D3"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lastRenderedPageBreak/>
        <w:t> </w:t>
      </w:r>
    </w:p>
    <w:p w14:paraId="558CC4EC"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xml:space="preserve">-        Gümrük Yönetmeliğinin </w:t>
      </w:r>
      <w:proofErr w:type="gramStart"/>
      <w:r w:rsidRPr="00827913">
        <w:rPr>
          <w:rFonts w:ascii="Verdana" w:eastAsia="Times New Roman" w:hAnsi="Verdana" w:cs="Tahoma"/>
          <w:color w:val="000000"/>
          <w:sz w:val="20"/>
          <w:szCs w:val="20"/>
          <w:lang w:eastAsia="tr-TR"/>
        </w:rPr>
        <w:t xml:space="preserve">526 </w:t>
      </w:r>
      <w:proofErr w:type="spellStart"/>
      <w:r w:rsidRPr="00827913">
        <w:rPr>
          <w:rFonts w:ascii="Verdana" w:eastAsia="Times New Roman" w:hAnsi="Verdana" w:cs="Tahoma"/>
          <w:color w:val="000000"/>
          <w:sz w:val="20"/>
          <w:szCs w:val="20"/>
          <w:lang w:eastAsia="tr-TR"/>
        </w:rPr>
        <w:t>ncı</w:t>
      </w:r>
      <w:proofErr w:type="spellEnd"/>
      <w:proofErr w:type="gramEnd"/>
      <w:r w:rsidRPr="00827913">
        <w:rPr>
          <w:rFonts w:ascii="Verdana" w:eastAsia="Times New Roman" w:hAnsi="Verdana" w:cs="Tahoma"/>
          <w:color w:val="000000"/>
          <w:sz w:val="20"/>
          <w:szCs w:val="20"/>
          <w:lang w:eastAsia="tr-TR"/>
        </w:rPr>
        <w:t xml:space="preserve"> maddesinin üçüncü fıkrası hükmü saklı kalmak kaydıyla, 23.07.2020 tarihi itibarıyla tescil edilecek antrepo beyannamelerine ilişkin antrepo işleticisi ya da kullanıcıdan alınacak teminat ile ilgili olarak 30.09.2020 tarihine kadar,</w:t>
      </w:r>
    </w:p>
    <w:p w14:paraId="146B7DA2"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7ABF78E7"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xml:space="preserve">1-       Antrepolara et ve et ürünleri (2. ve 16. fasıllarda sınıflandırılan), çay, muz, tütün ve tütün ürünleri, alkollü içki, mısır, cin mısırı, ceviz (kabuklu veya kabuksuz), badem (kabuklu veya kabuksuz), </w:t>
      </w:r>
      <w:proofErr w:type="spellStart"/>
      <w:r w:rsidRPr="00827913">
        <w:rPr>
          <w:rFonts w:ascii="Verdana" w:eastAsia="Times New Roman" w:hAnsi="Verdana" w:cs="Tahoma"/>
          <w:color w:val="000000"/>
          <w:sz w:val="20"/>
          <w:szCs w:val="20"/>
          <w:lang w:eastAsia="tr-TR"/>
        </w:rPr>
        <w:t>antep</w:t>
      </w:r>
      <w:proofErr w:type="spellEnd"/>
      <w:r w:rsidRPr="00827913">
        <w:rPr>
          <w:rFonts w:ascii="Verdana" w:eastAsia="Times New Roman" w:hAnsi="Verdana" w:cs="Tahoma"/>
          <w:color w:val="000000"/>
          <w:sz w:val="20"/>
          <w:szCs w:val="20"/>
          <w:lang w:eastAsia="tr-TR"/>
        </w:rPr>
        <w:t xml:space="preserve"> fıstığı (kabuklu veya kabuksuz) ile yer fıstığının (tohumluk, kabuklu veya kabuksuz) konulması durumunda eşyadan alınması gereken teminatın, eşyaya ilişkin gümrük vergilerinin %50'si kadar olması,</w:t>
      </w:r>
    </w:p>
    <w:p w14:paraId="1E8E39F2"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5151AE7D"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2-       Antrepoya konulacak diğer eşyadan alınması gereken teminatın ise eşyaya ilişkin gümrük vergilerinin %25’i kadar olması,</w:t>
      </w:r>
    </w:p>
    <w:p w14:paraId="459FC661"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1D8A5055"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3-       BİLGE sisteminde düzenleme yapılana kadar aynı antrepo beyanname kapsamı farklı kalemler için farklı teminat oranlarının bulunması halinde teminatın yüksek olan oran üzerinden hesaplanması,</w:t>
      </w:r>
    </w:p>
    <w:p w14:paraId="5E387F3B"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3875D6AC"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Gümrüksüz satış mağazaları ile akaryakıt antrepoları ve akaryakıt antreposu statüsünde olmamakla birlikte ÖTV 1 sayılı liste kapsamı eşyanın depolandığı antrepolara ilişkin teminat işlemleri özel olarak ayrıca düzenlendiğinden, bunlara ilişkin mevcut teminat uygulamalarının herhangi bir değişiklik olmaksızın devam etmesi,</w:t>
      </w:r>
    </w:p>
    <w:p w14:paraId="1BB94EF7"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2F172256"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Bakanlık Makamının 14.12.2014 tarihli Olurlarının 23.07.2020 tarihi itibarıyla yürürlükten kaldırılması</w:t>
      </w:r>
    </w:p>
    <w:p w14:paraId="258D1775"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30C9B1A8"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Uygun bulunmuştur.</w:t>
      </w:r>
    </w:p>
    <w:p w14:paraId="44B13ED1"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5EC3A806"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Bu itibarla;</w:t>
      </w:r>
    </w:p>
    <w:p w14:paraId="1311CEB1"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2D330DFB"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Antrepolardaki teminat işlemlerinin, 23.07.2020 tarihi itibarıyla Bakanlık Makamının 22.07.2020 tarihli 56024255 sayılı Onayı çerçevesinde yürütülmesi, antrepo beyannamelerindeki teminat oranlarının gümrük müdürlüklerince titizlikle kontrol edilmesi ve uygulamanın ilgililere ivedilikle duyurulması,</w:t>
      </w:r>
    </w:p>
    <w:p w14:paraId="1AAC1A12"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5770EDBE"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xml:space="preserve">-        Danıştay Yedinci Dairesince 2015/1 sayılı Genelge iptal edildiğinden ve 14.12.2014 tarihli Onay 23.07.2020 tarihi itibarıyla yürürlükten kaldırıldığından; talep edilmesi halinde, 2015/1 sayılı Genelge ve 14.12.2014 tarihli Onay kapsamında antrepo işleticilerince verilen </w:t>
      </w:r>
      <w:proofErr w:type="gramStart"/>
      <w:r w:rsidRPr="00827913">
        <w:rPr>
          <w:rFonts w:ascii="Verdana" w:eastAsia="Times New Roman" w:hAnsi="Verdana" w:cs="Tahoma"/>
          <w:color w:val="000000"/>
          <w:sz w:val="20"/>
          <w:szCs w:val="20"/>
          <w:lang w:eastAsia="tr-TR"/>
        </w:rPr>
        <w:t>100.000,-</w:t>
      </w:r>
      <w:proofErr w:type="gramEnd"/>
      <w:r w:rsidRPr="00827913">
        <w:rPr>
          <w:rFonts w:ascii="Verdana" w:eastAsia="Times New Roman" w:hAnsi="Verdana" w:cs="Tahoma"/>
          <w:color w:val="000000"/>
          <w:sz w:val="20"/>
          <w:szCs w:val="20"/>
          <w:lang w:eastAsia="tr-TR"/>
        </w:rPr>
        <w:t>Avro tutarındaki teminatın ilgilisine iade edilmesi</w:t>
      </w:r>
    </w:p>
    <w:p w14:paraId="225D7D9F"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77A9104E"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Gerekmektedir.</w:t>
      </w:r>
    </w:p>
    <w:p w14:paraId="2BE36E7B"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4F123F1F"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Bilgi ve gereğini rica ederim.</w:t>
      </w:r>
    </w:p>
    <w:p w14:paraId="0A0C6B52"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197DE136"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Mustafa GÜMÜŞ</w:t>
      </w:r>
    </w:p>
    <w:p w14:paraId="0D35A5D8"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Bakan a.</w:t>
      </w:r>
    </w:p>
    <w:p w14:paraId="5E27FF0C"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Genel Müdür</w:t>
      </w:r>
    </w:p>
    <w:p w14:paraId="3F705650"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 </w:t>
      </w:r>
    </w:p>
    <w:p w14:paraId="53AC0491"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DAĞITIM:</w:t>
      </w:r>
    </w:p>
    <w:p w14:paraId="09380FC9" w14:textId="77777777" w:rsidR="00827913" w:rsidRPr="00827913" w:rsidRDefault="00827913" w:rsidP="00827913">
      <w:pPr>
        <w:shd w:val="clear" w:color="auto" w:fill="FFFFFF"/>
        <w:spacing w:after="0" w:line="240" w:lineRule="auto"/>
        <w:rPr>
          <w:rFonts w:ascii="Tahoma" w:eastAsia="Times New Roman" w:hAnsi="Tahoma" w:cs="Tahoma"/>
          <w:color w:val="000000"/>
          <w:sz w:val="18"/>
          <w:szCs w:val="18"/>
          <w:lang w:eastAsia="tr-TR"/>
        </w:rPr>
      </w:pPr>
      <w:r w:rsidRPr="00827913">
        <w:rPr>
          <w:rFonts w:ascii="Verdana" w:eastAsia="Times New Roman" w:hAnsi="Verdana" w:cs="Tahoma"/>
          <w:color w:val="000000"/>
          <w:sz w:val="20"/>
          <w:szCs w:val="20"/>
          <w:lang w:eastAsia="tr-TR"/>
        </w:rPr>
        <w:t>Tüm Gümrük ve Dış Ticaret Bölge Müdürlükleri</w:t>
      </w:r>
    </w:p>
    <w:p w14:paraId="1B2ED9D0" w14:textId="77777777" w:rsidR="00097CC2" w:rsidRPr="009921B0" w:rsidRDefault="00097CC2" w:rsidP="009921B0"/>
    <w:sectPr w:rsidR="00097CC2" w:rsidRPr="00992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43994" w14:textId="77777777" w:rsidR="00192E8E" w:rsidRDefault="00192E8E" w:rsidP="003D5EAD">
      <w:pPr>
        <w:spacing w:after="0" w:line="240" w:lineRule="auto"/>
      </w:pPr>
      <w:r>
        <w:separator/>
      </w:r>
    </w:p>
  </w:endnote>
  <w:endnote w:type="continuationSeparator" w:id="0">
    <w:p w14:paraId="04CA781D" w14:textId="77777777" w:rsidR="00192E8E" w:rsidRDefault="00192E8E"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D573F" w14:textId="77777777" w:rsidR="00192E8E" w:rsidRDefault="00192E8E" w:rsidP="003D5EAD">
      <w:pPr>
        <w:spacing w:after="0" w:line="240" w:lineRule="auto"/>
      </w:pPr>
      <w:r>
        <w:separator/>
      </w:r>
    </w:p>
  </w:footnote>
  <w:footnote w:type="continuationSeparator" w:id="0">
    <w:p w14:paraId="3069AA35" w14:textId="77777777" w:rsidR="00192E8E" w:rsidRDefault="00192E8E"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02831"/>
    <w:rsid w:val="0004405A"/>
    <w:rsid w:val="00055BE7"/>
    <w:rsid w:val="00062D2D"/>
    <w:rsid w:val="0008139A"/>
    <w:rsid w:val="00097CC2"/>
    <w:rsid w:val="000B58F5"/>
    <w:rsid w:val="000E2991"/>
    <w:rsid w:val="0015507E"/>
    <w:rsid w:val="00177CFF"/>
    <w:rsid w:val="00192E8E"/>
    <w:rsid w:val="001B1381"/>
    <w:rsid w:val="001E1824"/>
    <w:rsid w:val="001F0260"/>
    <w:rsid w:val="00211121"/>
    <w:rsid w:val="00216395"/>
    <w:rsid w:val="002B6217"/>
    <w:rsid w:val="002F0B9F"/>
    <w:rsid w:val="002F30B0"/>
    <w:rsid w:val="00386EB0"/>
    <w:rsid w:val="003D5EAD"/>
    <w:rsid w:val="004738EF"/>
    <w:rsid w:val="004C07AD"/>
    <w:rsid w:val="004E3972"/>
    <w:rsid w:val="004E7281"/>
    <w:rsid w:val="00507BF9"/>
    <w:rsid w:val="00531A65"/>
    <w:rsid w:val="00550AD4"/>
    <w:rsid w:val="00553C0E"/>
    <w:rsid w:val="00611807"/>
    <w:rsid w:val="00617885"/>
    <w:rsid w:val="0063300D"/>
    <w:rsid w:val="0065543F"/>
    <w:rsid w:val="0066033F"/>
    <w:rsid w:val="006B6F28"/>
    <w:rsid w:val="006C44C6"/>
    <w:rsid w:val="006D1D19"/>
    <w:rsid w:val="00747AD7"/>
    <w:rsid w:val="0077504F"/>
    <w:rsid w:val="00827913"/>
    <w:rsid w:val="0084718D"/>
    <w:rsid w:val="008E4E7B"/>
    <w:rsid w:val="009628D9"/>
    <w:rsid w:val="0099203E"/>
    <w:rsid w:val="009921B0"/>
    <w:rsid w:val="009A013D"/>
    <w:rsid w:val="009A6F8A"/>
    <w:rsid w:val="00A930D7"/>
    <w:rsid w:val="00AC7BB7"/>
    <w:rsid w:val="00AE4E54"/>
    <w:rsid w:val="00B02260"/>
    <w:rsid w:val="00B0307B"/>
    <w:rsid w:val="00B111BA"/>
    <w:rsid w:val="00B55F07"/>
    <w:rsid w:val="00B767E2"/>
    <w:rsid w:val="00B8288C"/>
    <w:rsid w:val="00C031DB"/>
    <w:rsid w:val="00C4116C"/>
    <w:rsid w:val="00C61A75"/>
    <w:rsid w:val="00C70D58"/>
    <w:rsid w:val="00CA2258"/>
    <w:rsid w:val="00CF75B8"/>
    <w:rsid w:val="00D03463"/>
    <w:rsid w:val="00D11E0C"/>
    <w:rsid w:val="00DC653C"/>
    <w:rsid w:val="00DD04E4"/>
    <w:rsid w:val="00E039C4"/>
    <w:rsid w:val="00E07A2F"/>
    <w:rsid w:val="00E54F0C"/>
    <w:rsid w:val="00E85707"/>
    <w:rsid w:val="00EA089B"/>
    <w:rsid w:val="00EC65D0"/>
    <w:rsid w:val="00EE189F"/>
    <w:rsid w:val="00F07FD1"/>
    <w:rsid w:val="00F10280"/>
    <w:rsid w:val="00F36F3C"/>
    <w:rsid w:val="00F40406"/>
    <w:rsid w:val="00FD0AF3"/>
    <w:rsid w:val="00FD2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0D"/>
  </w:style>
  <w:style w:type="paragraph" w:styleId="Balk2">
    <w:name w:val="heading 2"/>
    <w:basedOn w:val="Normal"/>
    <w:link w:val="Balk2Char"/>
    <w:uiPriority w:val="9"/>
    <w:qFormat/>
    <w:rsid w:val="0061180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 w:type="paragraph" w:customStyle="1" w:styleId="ortabalkbold">
    <w:name w:val="ortabalkbold"/>
    <w:basedOn w:val="Normal"/>
    <w:rsid w:val="00FD22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07A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7A2F"/>
  </w:style>
  <w:style w:type="character" w:customStyle="1" w:styleId="spelle">
    <w:name w:val="spelle"/>
    <w:basedOn w:val="VarsaylanParagrafYazTipi"/>
    <w:rsid w:val="00E07A2F"/>
  </w:style>
  <w:style w:type="character" w:customStyle="1" w:styleId="Balk2Char">
    <w:name w:val="Başlık 2 Char"/>
    <w:basedOn w:val="VarsaylanParagrafYazTipi"/>
    <w:link w:val="Balk2"/>
    <w:uiPriority w:val="9"/>
    <w:rsid w:val="00611807"/>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317">
      <w:bodyDiv w:val="1"/>
      <w:marLeft w:val="0"/>
      <w:marRight w:val="0"/>
      <w:marTop w:val="0"/>
      <w:marBottom w:val="0"/>
      <w:divBdr>
        <w:top w:val="none" w:sz="0" w:space="0" w:color="auto"/>
        <w:left w:val="none" w:sz="0" w:space="0" w:color="auto"/>
        <w:bottom w:val="none" w:sz="0" w:space="0" w:color="auto"/>
        <w:right w:val="none" w:sz="0" w:space="0" w:color="auto"/>
      </w:divBdr>
    </w:div>
    <w:div w:id="38819820">
      <w:bodyDiv w:val="1"/>
      <w:marLeft w:val="0"/>
      <w:marRight w:val="0"/>
      <w:marTop w:val="0"/>
      <w:marBottom w:val="0"/>
      <w:divBdr>
        <w:top w:val="none" w:sz="0" w:space="0" w:color="auto"/>
        <w:left w:val="none" w:sz="0" w:space="0" w:color="auto"/>
        <w:bottom w:val="none" w:sz="0" w:space="0" w:color="auto"/>
        <w:right w:val="none" w:sz="0" w:space="0" w:color="auto"/>
      </w:divBdr>
    </w:div>
    <w:div w:id="58210810">
      <w:bodyDiv w:val="1"/>
      <w:marLeft w:val="0"/>
      <w:marRight w:val="0"/>
      <w:marTop w:val="0"/>
      <w:marBottom w:val="0"/>
      <w:divBdr>
        <w:top w:val="none" w:sz="0" w:space="0" w:color="auto"/>
        <w:left w:val="none" w:sz="0" w:space="0" w:color="auto"/>
        <w:bottom w:val="none" w:sz="0" w:space="0" w:color="auto"/>
        <w:right w:val="none" w:sz="0" w:space="0" w:color="auto"/>
      </w:divBdr>
    </w:div>
    <w:div w:id="122431010">
      <w:bodyDiv w:val="1"/>
      <w:marLeft w:val="0"/>
      <w:marRight w:val="0"/>
      <w:marTop w:val="0"/>
      <w:marBottom w:val="0"/>
      <w:divBdr>
        <w:top w:val="none" w:sz="0" w:space="0" w:color="auto"/>
        <w:left w:val="none" w:sz="0" w:space="0" w:color="auto"/>
        <w:bottom w:val="none" w:sz="0" w:space="0" w:color="auto"/>
        <w:right w:val="none" w:sz="0" w:space="0" w:color="auto"/>
      </w:divBdr>
      <w:divsChild>
        <w:div w:id="558713561">
          <w:marLeft w:val="0"/>
          <w:marRight w:val="0"/>
          <w:marTop w:val="0"/>
          <w:marBottom w:val="0"/>
          <w:divBdr>
            <w:top w:val="none" w:sz="0" w:space="0" w:color="auto"/>
            <w:left w:val="none" w:sz="0" w:space="0" w:color="auto"/>
            <w:bottom w:val="none" w:sz="0" w:space="0" w:color="auto"/>
            <w:right w:val="none" w:sz="0" w:space="0" w:color="auto"/>
          </w:divBdr>
          <w:divsChild>
            <w:div w:id="4672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616">
      <w:bodyDiv w:val="1"/>
      <w:marLeft w:val="0"/>
      <w:marRight w:val="0"/>
      <w:marTop w:val="0"/>
      <w:marBottom w:val="0"/>
      <w:divBdr>
        <w:top w:val="none" w:sz="0" w:space="0" w:color="auto"/>
        <w:left w:val="none" w:sz="0" w:space="0" w:color="auto"/>
        <w:bottom w:val="none" w:sz="0" w:space="0" w:color="auto"/>
        <w:right w:val="none" w:sz="0" w:space="0" w:color="auto"/>
      </w:divBdr>
    </w:div>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176703204">
      <w:bodyDiv w:val="1"/>
      <w:marLeft w:val="0"/>
      <w:marRight w:val="0"/>
      <w:marTop w:val="0"/>
      <w:marBottom w:val="0"/>
      <w:divBdr>
        <w:top w:val="none" w:sz="0" w:space="0" w:color="auto"/>
        <w:left w:val="none" w:sz="0" w:space="0" w:color="auto"/>
        <w:bottom w:val="none" w:sz="0" w:space="0" w:color="auto"/>
        <w:right w:val="none" w:sz="0" w:space="0" w:color="auto"/>
      </w:divBdr>
    </w:div>
    <w:div w:id="220602952">
      <w:bodyDiv w:val="1"/>
      <w:marLeft w:val="0"/>
      <w:marRight w:val="0"/>
      <w:marTop w:val="0"/>
      <w:marBottom w:val="0"/>
      <w:divBdr>
        <w:top w:val="none" w:sz="0" w:space="0" w:color="auto"/>
        <w:left w:val="none" w:sz="0" w:space="0" w:color="auto"/>
        <w:bottom w:val="none" w:sz="0" w:space="0" w:color="auto"/>
        <w:right w:val="none" w:sz="0" w:space="0" w:color="auto"/>
      </w:divBdr>
    </w:div>
    <w:div w:id="257445190">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64162780">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867794789">
      <w:bodyDiv w:val="1"/>
      <w:marLeft w:val="0"/>
      <w:marRight w:val="0"/>
      <w:marTop w:val="0"/>
      <w:marBottom w:val="0"/>
      <w:divBdr>
        <w:top w:val="none" w:sz="0" w:space="0" w:color="auto"/>
        <w:left w:val="none" w:sz="0" w:space="0" w:color="auto"/>
        <w:bottom w:val="none" w:sz="0" w:space="0" w:color="auto"/>
        <w:right w:val="none" w:sz="0" w:space="0" w:color="auto"/>
      </w:divBdr>
    </w:div>
    <w:div w:id="880167085">
      <w:bodyDiv w:val="1"/>
      <w:marLeft w:val="0"/>
      <w:marRight w:val="0"/>
      <w:marTop w:val="0"/>
      <w:marBottom w:val="0"/>
      <w:divBdr>
        <w:top w:val="none" w:sz="0" w:space="0" w:color="auto"/>
        <w:left w:val="none" w:sz="0" w:space="0" w:color="auto"/>
        <w:bottom w:val="none" w:sz="0" w:space="0" w:color="auto"/>
        <w:right w:val="none" w:sz="0" w:space="0" w:color="auto"/>
      </w:divBdr>
    </w:div>
    <w:div w:id="960377613">
      <w:bodyDiv w:val="1"/>
      <w:marLeft w:val="0"/>
      <w:marRight w:val="0"/>
      <w:marTop w:val="0"/>
      <w:marBottom w:val="0"/>
      <w:divBdr>
        <w:top w:val="none" w:sz="0" w:space="0" w:color="auto"/>
        <w:left w:val="none" w:sz="0" w:space="0" w:color="auto"/>
        <w:bottom w:val="none" w:sz="0" w:space="0" w:color="auto"/>
        <w:right w:val="none" w:sz="0" w:space="0" w:color="auto"/>
      </w:divBdr>
    </w:div>
    <w:div w:id="1039891212">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38375588">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164247536">
      <w:bodyDiv w:val="1"/>
      <w:marLeft w:val="0"/>
      <w:marRight w:val="0"/>
      <w:marTop w:val="0"/>
      <w:marBottom w:val="0"/>
      <w:divBdr>
        <w:top w:val="none" w:sz="0" w:space="0" w:color="auto"/>
        <w:left w:val="none" w:sz="0" w:space="0" w:color="auto"/>
        <w:bottom w:val="none" w:sz="0" w:space="0" w:color="auto"/>
        <w:right w:val="none" w:sz="0" w:space="0" w:color="auto"/>
      </w:divBdr>
    </w:div>
    <w:div w:id="1193153318">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487551565">
      <w:bodyDiv w:val="1"/>
      <w:marLeft w:val="0"/>
      <w:marRight w:val="0"/>
      <w:marTop w:val="0"/>
      <w:marBottom w:val="0"/>
      <w:divBdr>
        <w:top w:val="none" w:sz="0" w:space="0" w:color="auto"/>
        <w:left w:val="none" w:sz="0" w:space="0" w:color="auto"/>
        <w:bottom w:val="none" w:sz="0" w:space="0" w:color="auto"/>
        <w:right w:val="none" w:sz="0" w:space="0" w:color="auto"/>
      </w:divBdr>
    </w:div>
    <w:div w:id="1559970760">
      <w:bodyDiv w:val="1"/>
      <w:marLeft w:val="0"/>
      <w:marRight w:val="0"/>
      <w:marTop w:val="0"/>
      <w:marBottom w:val="0"/>
      <w:divBdr>
        <w:top w:val="none" w:sz="0" w:space="0" w:color="auto"/>
        <w:left w:val="none" w:sz="0" w:space="0" w:color="auto"/>
        <w:bottom w:val="none" w:sz="0" w:space="0" w:color="auto"/>
        <w:right w:val="none" w:sz="0" w:space="0" w:color="auto"/>
      </w:divBdr>
    </w:div>
    <w:div w:id="1616281111">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084377261">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45</cp:revision>
  <dcterms:created xsi:type="dcterms:W3CDTF">2020-06-02T13:30:00Z</dcterms:created>
  <dcterms:modified xsi:type="dcterms:W3CDTF">2020-07-24T07:59:00Z</dcterms:modified>
</cp:coreProperties>
</file>